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</w:t>
      </w:r>
      <w:r w:rsidR="00603CC0">
        <w:rPr>
          <w:rFonts w:asciiTheme="minorHAnsi" w:hAnsiTheme="minorHAnsi"/>
          <w:b/>
          <w:sz w:val="22"/>
          <w:szCs w:val="22"/>
          <w:lang w:val="hr-HR"/>
        </w:rPr>
        <w:t>a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03CC0">
        <w:rPr>
          <w:rFonts w:asciiTheme="minorHAnsi" w:hAnsiTheme="minorHAnsi"/>
          <w:b/>
          <w:sz w:val="22"/>
          <w:szCs w:val="22"/>
          <w:lang w:val="hr-HR"/>
        </w:rPr>
        <w:t>16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03CC0">
        <w:rPr>
          <w:rFonts w:asciiTheme="minorHAnsi" w:hAnsiTheme="minorHAnsi"/>
          <w:b/>
          <w:sz w:val="22"/>
          <w:szCs w:val="22"/>
          <w:lang w:val="hr-HR"/>
        </w:rPr>
        <w:t>21.12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>održana elektronskim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Rebalans I</w:t>
      </w:r>
      <w:r w:rsidR="00603CC0">
        <w:rPr>
          <w:rFonts w:asciiTheme="minorHAnsi" w:hAnsiTheme="minorHAnsi"/>
          <w:sz w:val="22"/>
          <w:szCs w:val="22"/>
          <w:lang w:val="hr-HR"/>
        </w:rPr>
        <w:t>I</w:t>
      </w:r>
      <w:r>
        <w:rPr>
          <w:rFonts w:asciiTheme="minorHAnsi" w:hAnsiTheme="minorHAnsi"/>
          <w:sz w:val="22"/>
          <w:szCs w:val="22"/>
          <w:lang w:val="hr-HR"/>
        </w:rPr>
        <w:t>. Financijskog plana za 2018. godinu</w:t>
      </w:r>
    </w:p>
    <w:p w:rsidR="00603CC0" w:rsidRDefault="00603CC0" w:rsidP="00603CC0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Rebalans II</w:t>
      </w:r>
      <w:r>
        <w:rPr>
          <w:rFonts w:asciiTheme="minorHAnsi" w:hAnsiTheme="minorHAnsi"/>
          <w:sz w:val="22"/>
          <w:szCs w:val="22"/>
          <w:lang w:val="hr-HR"/>
        </w:rPr>
        <w:t>I</w:t>
      </w:r>
      <w:r>
        <w:rPr>
          <w:rFonts w:asciiTheme="minorHAnsi" w:hAnsiTheme="minorHAnsi"/>
          <w:sz w:val="22"/>
          <w:szCs w:val="22"/>
          <w:lang w:val="hr-HR"/>
        </w:rPr>
        <w:t>. Financijskog plana za 2018. godinu</w:t>
      </w:r>
    </w:p>
    <w:p w:rsidR="00603CC0" w:rsidRDefault="00603CC0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Financijski plan za 2018. godinu s projekcijama za 2020. i 2021.</w:t>
      </w:r>
    </w:p>
    <w:p w:rsidR="00467EC0" w:rsidRDefault="00603CC0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Plan nabave za 2019. godinu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603CC0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Rebalans II. Financijskog plana za 2018. godinu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Rebalans I</w:t>
      </w:r>
      <w:r w:rsidR="00603CC0">
        <w:rPr>
          <w:rFonts w:asciiTheme="minorHAnsi" w:hAnsiTheme="minorHAnsi"/>
          <w:sz w:val="22"/>
          <w:szCs w:val="22"/>
          <w:lang w:val="hr-HR"/>
        </w:rPr>
        <w:t>II</w:t>
      </w:r>
      <w:r>
        <w:rPr>
          <w:rFonts w:asciiTheme="minorHAnsi" w:hAnsiTheme="minorHAnsi"/>
          <w:sz w:val="22"/>
          <w:szCs w:val="22"/>
          <w:lang w:val="hr-HR"/>
        </w:rPr>
        <w:t>. Financijskog plana za 2018. godinu.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Ad-3./Zaključak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603C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Financijski plan Osnovne škole Bedenica za 2019. godinu.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603C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Plan nabave Osnovne škole Bedenica za 2019. godinu.</w:t>
      </w:r>
      <w:bookmarkStart w:id="0" w:name="_GoBack"/>
      <w:bookmarkEnd w:id="0"/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9C" w:rsidRDefault="00943D9C" w:rsidP="00496EBD">
      <w:r>
        <w:separator/>
      </w:r>
    </w:p>
  </w:endnote>
  <w:endnote w:type="continuationSeparator" w:id="0">
    <w:p w:rsidR="00943D9C" w:rsidRDefault="00943D9C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603CC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9C" w:rsidRDefault="00943D9C" w:rsidP="00496EBD">
      <w:r>
        <w:separator/>
      </w:r>
    </w:p>
  </w:footnote>
  <w:footnote w:type="continuationSeparator" w:id="0">
    <w:p w:rsidR="00943D9C" w:rsidRDefault="00943D9C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67EC0"/>
    <w:rsid w:val="00494401"/>
    <w:rsid w:val="00496EBD"/>
    <w:rsid w:val="004D30F8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E23C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6199-D183-4C0E-A8F5-90EC0916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2019-01-10T08:30:00Z</dcterms:created>
  <dcterms:modified xsi:type="dcterms:W3CDTF">2019-01-10T08:30:00Z</dcterms:modified>
</cp:coreProperties>
</file>